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бщественного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администрации города Нижнего Новгорода 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(далее – Общественный совет)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16 декабря</w:t>
      </w:r>
      <w:r>
        <w:rPr>
          <w:rFonts w:ascii="Times New Roman" w:hAnsi="Times New Roman" w:cs="Times New Roman"/>
          <w:sz w:val="28"/>
          <w:szCs w:val="28"/>
        </w:rPr>
        <w:t xml:space="preserve"> 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hint="eastAsia"/>
        </w:rPr>
      </w:r>
      <w:r>
        <w:rPr>
          <w:rFonts w:hint="eastAsia"/>
        </w:rPr>
      </w:r>
    </w:p>
    <w:p>
      <w:pPr>
        <w:pStyle w:val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– город Нижний Новгород,  Кремль корпус,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 (Администрация города Нижнего Новгорода)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13:00  до  14:</w:t>
      </w:r>
      <w:r>
        <w:rPr>
          <w:rFonts w:ascii="Times New Roman" w:hAnsi="Times New Roman" w:cs="Times New Roman"/>
          <w:sz w:val="28"/>
          <w:szCs w:val="28"/>
        </w:rPr>
        <w:t xml:space="preserve">00.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заседании присутствуют члены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бщественного совета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администрации города Нижнего Новгорода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вопросу рассмотрения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администрации города Нижнего Новгорода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рограммы профилактики рисков причинения вреда (ущерба)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Агутин А.В.,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Ижнина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Л.П., Кузьменко С.А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 w:bidi="ar-SA"/>
        </w:rPr>
      </w:r>
    </w:p>
    <w:p>
      <w:pPr>
        <w:pStyle w:val="854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Из 3-х членов общественного совета при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Нижнего Новгорода по вопросу рассмотрения проекта программы профилактики рисков причинения вреда (ущерба) охраняемым законом ценностям по видам муниципального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контроля присутствовало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3 -е членов.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426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Заседание правомочно.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ind w:firstLine="426"/>
        <w:jc w:val="both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На заседании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общественного совета приглашены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начальник управления административно-технического и муниципального контроля администрации города  Нижнего Новгорода Селезнев Максим Алексеевич,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заместитель начальника управления административно-технического и муниципального контроля администрации города Нижнего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Новгорода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Капустина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Наталья Александровна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, начальник отдела муниципального контроля управления административно-технического и муниципального контроля администрации города Нижнего Новгорода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Маркеев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  <w:t xml:space="preserve"> Максим Сергеевич.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pPr>
      <w:r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i/>
          <w:color w:val="333333"/>
          <w:sz w:val="27"/>
          <w:szCs w:val="27"/>
          <w:lang w:eastAsia="ru-RU" w:bidi="ar-SA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pP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ru-RU" w:bidi="ar-SA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ЗАСЕДАНИЯ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60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проекта постановления администрации города Ниж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него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Новгорода «Об утверждении П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осуществлении видов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контроля на территории муниципального образования городской округ город Нижний Новгород на 2025 год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</w:t>
      </w:r>
      <w:r>
        <w:rPr>
          <w:rFonts w:ascii="Times New Roman" w:hAnsi="Times New Roman"/>
          <w:bCs/>
          <w:sz w:val="28"/>
          <w:szCs w:val="28"/>
        </w:rPr>
        <w:t xml:space="preserve">определении  срока</w:t>
      </w:r>
      <w:r>
        <w:rPr>
          <w:rFonts w:ascii="Times New Roman" w:hAnsi="Times New Roman"/>
          <w:bCs/>
          <w:sz w:val="28"/>
          <w:szCs w:val="28"/>
        </w:rPr>
        <w:t xml:space="preserve">  очередного заседания </w:t>
      </w:r>
      <w:r>
        <w:rPr>
          <w:rFonts w:ascii="Times New Roman" w:hAnsi="Times New Roman"/>
          <w:sz w:val="28"/>
          <w:szCs w:val="28"/>
        </w:rPr>
        <w:t xml:space="preserve">Общественного совета.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</w:t>
      </w:r>
      <w:r>
        <w:rPr>
          <w:rFonts w:ascii="Times New Roman" w:hAnsi="Times New Roman"/>
          <w:b/>
          <w:sz w:val="28"/>
          <w:szCs w:val="28"/>
        </w:rPr>
        <w:t xml:space="preserve"> первому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вопросу: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 вопросу повестки выступил начальник управления административно-технического и муниципального контроля администрации города Нижнего Новгорода Селезнев Максим Алексеевич: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 постановления администрации города Нижнего Новгорода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2024 год»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разработан в соответствии с Федеральным законом от 31.07.2020 года № 248 - 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Данная Программа направлена на предупреждение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по соответствующим направлениям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муниципального образования городской округ город Нижний Новгород на 2025 год,  по профилактике нарушений обязательных требований по всем видам муниципального контроля, включая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муниципальный земельный контроль,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муниципальный жилищный контроль,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муниципальный лесной контроль, муниципальный контроль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иципальный контроль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</w:r>
      <w:r>
        <w:rPr>
          <w:rFonts w:hint="eastAsia"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Срок реализации Программы –  2025 год.</w:t>
      </w:r>
      <w:r>
        <w:rPr>
          <w:rFonts w:hint="eastAsia" w:ascii="Times New Roman" w:hAnsi="Times New Roman" w:cs="Times New Roman"/>
          <w:sz w:val="28"/>
          <w:szCs w:val="28"/>
        </w:rPr>
      </w:r>
      <w:r>
        <w:rPr>
          <w:rFonts w:hint="eastAsia"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образом, с целью реализации норм действующего законодательства необходимо издание соответствующего нормативно – правового акта.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ind w:left="0" w:firstLine="709"/>
        <w:jc w:val="both"/>
        <w:spacing w:line="240" w:lineRule="auto"/>
        <w:rPr>
          <w:rStyle w:val="861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проведения общественного обсуждения проект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постановления администрации города Нижнего Новгорода «Об утверждении программы профилактики рисков причинения вреда (ущерба)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был размещен на </w:t>
      </w:r>
      <w:r>
        <w:rPr>
          <w:rStyle w:val="861"/>
          <w:rFonts w:ascii="Times New Roman" w:hAnsi="Times New Roman" w:eastAsia="Times New Roman" w:cs="Times New Roman"/>
        </w:rPr>
        <w:t xml:space="preserve">официальном сайте администрации города Нижнего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Style w:val="861"/>
          <w:rFonts w:ascii="Times New Roman" w:hAnsi="Times New Roman" w:eastAsia="Times New Roman" w:cs="Times New Roman"/>
        </w:rPr>
        <w:t xml:space="preserve">Новгорода в информационно – телекоммуникационной сети «Интернет»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Style w:val="861"/>
          <w:rFonts w:ascii="Times New Roman" w:hAnsi="Times New Roman" w:eastAsia="Times New Roman" w:cs="Times New Roman"/>
          <w:color w:val="000000" w:themeColor="text1"/>
        </w:rPr>
        <w:t xml:space="preserve">(</w:t>
      </w:r>
      <w:hyperlink r:id="rId10" w:tooltip="https://admgor.nnov.ru/" w:history="1">
        <w:r>
          <w:rPr>
            <w:rStyle w:val="862"/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https://admgor.nnov.ru/</w:t>
        </w:r>
      </w:hyperlink>
      <w:r>
        <w:rPr>
          <w:rStyle w:val="861"/>
          <w:rFonts w:ascii="Times New Roman" w:hAnsi="Times New Roman" w:eastAsia="Times New Roman" w:cs="Times New Roman"/>
          <w:color w:val="000000" w:themeColor="text1"/>
        </w:rPr>
        <w:t xml:space="preserve">)</w:t>
      </w:r>
      <w:r>
        <w:rPr>
          <w:rStyle w:val="861"/>
          <w:rFonts w:ascii="Times New Roman" w:hAnsi="Times New Roman" w:eastAsia="Times New Roman" w:cs="Times New Roman"/>
          <w:color w:val="000000" w:themeColor="text1"/>
        </w:rPr>
        <w:t xml:space="preserve">.</w:t>
      </w:r>
      <w:r>
        <w:rPr>
          <w:rStyle w:val="861"/>
          <w:rFonts w:ascii="Times New Roman" w:hAnsi="Times New Roman" w:cs="Times New Roman"/>
          <w:color w:val="000000" w:themeColor="text1"/>
        </w:rPr>
      </w:r>
      <w:r>
        <w:rPr>
          <w:rStyle w:val="861"/>
          <w:rFonts w:ascii="Times New Roman" w:hAnsi="Times New Roman" w:cs="Times New Roman"/>
          <w:color w:val="000000" w:themeColor="text1"/>
        </w:rPr>
      </w:r>
    </w:p>
    <w:p>
      <w:pPr>
        <w:pStyle w:val="860"/>
        <w:ind w:left="0" w:firstLine="709"/>
        <w:jc w:val="both"/>
        <w:spacing w:line="240" w:lineRule="auto"/>
        <w:rPr>
          <w:rStyle w:val="861"/>
        </w:rPr>
      </w:pPr>
      <w:r>
        <w:rPr>
          <w:rStyle w:val="861"/>
          <w:rFonts w:ascii="Times New Roman" w:hAnsi="Times New Roman" w:eastAsia="Times New Roman" w:cs="Times New Roman"/>
        </w:rPr>
        <w:t xml:space="preserve">Участники общественного обсуждения имели возможность</w:t>
      </w:r>
      <w:r>
        <w:rPr>
          <w:rStyle w:val="861"/>
        </w:rPr>
        <w:t xml:space="preserve"> ознакомиться с проектом постановления по адресу: 603005, город Нижний Новгород, ул. </w:t>
      </w:r>
      <w:r>
        <w:rPr>
          <w:rStyle w:val="861"/>
        </w:rPr>
        <w:t xml:space="preserve"> </w:t>
      </w:r>
      <w:r>
        <w:rPr>
          <w:rStyle w:val="861"/>
        </w:rPr>
        <w:t xml:space="preserve">Пискунова, 47/1 литер А, </w:t>
      </w:r>
      <w:r>
        <w:rPr>
          <w:rStyle w:val="861"/>
        </w:rPr>
        <w:t xml:space="preserve">с 29 ноября 2024</w:t>
      </w:r>
      <w:r>
        <w:rPr>
          <w:rStyle w:val="861"/>
        </w:rPr>
        <w:t xml:space="preserve"> года по 16 декабря</w:t>
      </w:r>
      <w:r>
        <w:rPr>
          <w:rStyle w:val="861"/>
        </w:rPr>
        <w:t xml:space="preserve"> 2024</w:t>
      </w:r>
      <w:r>
        <w:rPr>
          <w:rStyle w:val="861"/>
        </w:rPr>
        <w:t xml:space="preserve"> год.</w:t>
      </w:r>
      <w:r>
        <w:rPr>
          <w:rStyle w:val="861"/>
        </w:rPr>
      </w:r>
      <w:r>
        <w:rPr>
          <w:rStyle w:val="861"/>
        </w:rPr>
      </w:r>
    </w:p>
    <w:p>
      <w:pPr>
        <w:pStyle w:val="860"/>
        <w:ind w:left="0" w:firstLine="709"/>
        <w:jc w:val="both"/>
        <w:spacing w:line="240" w:lineRule="auto"/>
        <w:rPr>
          <w:rStyle w:val="861"/>
        </w:rPr>
      </w:pPr>
      <w:r>
        <w:rPr>
          <w:rStyle w:val="861"/>
        </w:rPr>
        <w:t xml:space="preserve">В период проведения общественных </w:t>
      </w:r>
      <w:r>
        <w:rPr>
          <w:rStyle w:val="861"/>
        </w:rPr>
        <w:t xml:space="preserve">обсуждений  по</w:t>
      </w:r>
      <w:r>
        <w:rPr>
          <w:rStyle w:val="861"/>
        </w:rPr>
        <w:t xml:space="preserve"> проекту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постановления администрации города Нижнего Новгорода «Об утверждении программы профилактики рисков причинения вреда (ущерба)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2024 год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ечаний и предложений </w:t>
      </w:r>
      <w:r>
        <w:rPr>
          <w:rStyle w:val="861"/>
        </w:rPr>
        <w:t xml:space="preserve"> не поступило.</w:t>
      </w:r>
      <w:r>
        <w:rPr>
          <w:rStyle w:val="861"/>
        </w:rPr>
      </w:r>
      <w:r>
        <w:rPr>
          <w:rStyle w:val="861"/>
        </w:rPr>
      </w:r>
    </w:p>
    <w:p>
      <w:pPr>
        <w:ind w:left="709"/>
        <w:tabs>
          <w:tab w:val="left" w:pos="19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0"/>
        <w:ind w:left="0"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бсуждение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проекта постановления администрации города Нижнего Новгорода «Об утверждении программы профилактики ри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Новгорода на 2025 год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состоявшимся.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0" w:firstLine="709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(</w:t>
      </w:r>
      <w:r>
        <w:rPr>
          <w:rFonts w:ascii="Times New Roman" w:hAnsi="Times New Roman"/>
          <w:b/>
          <w:sz w:val="28"/>
          <w:szCs w:val="28"/>
        </w:rPr>
        <w:t xml:space="preserve">решение принято в целом, единогласно)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второму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вопросу: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tabs>
          <w:tab w:val="left" w:pos="19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Руководитель Общественного совета </w:t>
      </w:r>
      <w:r>
        <w:rPr>
          <w:rFonts w:ascii="Times New Roman" w:hAnsi="Times New Roman"/>
          <w:sz w:val="28"/>
          <w:szCs w:val="28"/>
        </w:rPr>
        <w:t xml:space="preserve">Ижнина</w:t>
      </w:r>
      <w:r>
        <w:rPr>
          <w:rFonts w:ascii="Times New Roman" w:hAnsi="Times New Roman"/>
          <w:sz w:val="28"/>
          <w:szCs w:val="28"/>
        </w:rPr>
        <w:t xml:space="preserve"> Л.П.  </w:t>
      </w:r>
      <w:r>
        <w:rPr>
          <w:rFonts w:ascii="Times New Roman" w:hAnsi="Times New Roman"/>
          <w:sz w:val="28"/>
          <w:szCs w:val="28"/>
        </w:rPr>
        <w:t xml:space="preserve">предложила  определить</w:t>
      </w:r>
      <w:r>
        <w:rPr>
          <w:rFonts w:ascii="Times New Roman" w:hAnsi="Times New Roman"/>
          <w:sz w:val="28"/>
          <w:szCs w:val="28"/>
        </w:rPr>
        <w:t xml:space="preserve"> срок очередного заседания </w:t>
      </w:r>
      <w:r>
        <w:rPr>
          <w:rFonts w:ascii="Times New Roman" w:hAnsi="Times New Roman"/>
          <w:sz w:val="28"/>
          <w:szCs w:val="28"/>
        </w:rPr>
        <w:t xml:space="preserve">Общественного с</w:t>
      </w:r>
      <w:r>
        <w:rPr>
          <w:rFonts w:ascii="Times New Roman" w:hAnsi="Times New Roman"/>
          <w:sz w:val="28"/>
          <w:szCs w:val="28"/>
        </w:rPr>
        <w:t xml:space="preserve">овета – __</w:t>
      </w:r>
      <w:r>
        <w:rPr>
          <w:rFonts w:ascii="Times New Roman" w:hAnsi="Times New Roman"/>
          <w:sz w:val="28"/>
          <w:szCs w:val="28"/>
        </w:rPr>
        <w:t xml:space="preserve"> декабря 2024</w:t>
      </w:r>
      <w:r>
        <w:rPr>
          <w:rFonts w:ascii="Times New Roman" w:hAnsi="Times New Roman"/>
          <w:sz w:val="28"/>
          <w:szCs w:val="28"/>
        </w:rPr>
        <w:t xml:space="preserve"> года,  для рассмотрения проекта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администрации города Нижнего Новгорода «Об утверждении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профилактики рисков п</w:t>
      </w:r>
      <w:bookmarkStart w:id="0" w:name="_GoBack"/>
      <w:r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ричинения вреда (ущерба)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 w:bidi="ar-SA"/>
        </w:rPr>
      </w:r>
    </w:p>
    <w:p>
      <w:pPr>
        <w:tabs>
          <w:tab w:val="left" w:pos="19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tabs>
          <w:tab w:val="left" w:pos="198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  <w:t xml:space="preserve">Провести заседание Общественного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администрации города Нижнего Новгорода по вопросу рассмотрения проекта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постановления администрации города Нижнего Новгорода «Об утверждении программы профилактики рисков причинения вреда (ущерба)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 на 2025 год»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17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ind w:firstLine="709"/>
        <w:jc w:val="center"/>
        <w:tabs>
          <w:tab w:val="left" w:pos="19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решение принято в целом, единогласно)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0" w:firstLine="709"/>
        <w:jc w:val="both"/>
        <w:spacing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администрации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Нижнего Новгорода по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вопросу рассмотрения проекта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охраняемым законом ценностям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  </w:t>
      </w:r>
      <w:r>
        <w:rPr>
          <w:rFonts w:ascii="Times New Roman" w:hAnsi="Times New Roman" w:cs="Times New Roman"/>
          <w:bCs/>
          <w:sz w:val="28"/>
          <w:szCs w:val="28"/>
        </w:rPr>
        <w:t xml:space="preserve">Л.П.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Ижнина</w:t>
      </w:r>
      <w:r>
        <w:rPr>
          <w:rFonts w:hint="eastAsia"/>
        </w:rPr>
      </w:r>
      <w:r>
        <w:rPr>
          <w:rFonts w:hint="eastAsia"/>
        </w:rPr>
      </w:r>
    </w:p>
    <w:sectPr>
      <w:footnotePr/>
      <w:endnotePr/>
      <w:type w:val="nextPage"/>
      <w:pgSz w:w="11906" w:h="16838" w:orient="portrait"/>
      <w:pgMar w:top="568" w:right="566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Segoe UI">
    <w:panose1 w:val="020B0503020203020204"/>
  </w:font>
  <w:font w:name="Arial">
    <w:panose1 w:val="020B0604020202020204"/>
  </w:font>
  <w:font w:name="SimSun">
    <w:panose1 w:val="02000506000000020000"/>
  </w:font>
  <w:font w:name="Mangal">
    <w:panose1 w:val="0204050305040603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Mang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5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5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5"/>
    <w:link w:val="696"/>
    <w:uiPriority w:val="99"/>
  </w:style>
  <w:style w:type="paragraph" w:styleId="698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5"/>
    <w:link w:val="698"/>
    <w:uiPriority w:val="99"/>
  </w:style>
  <w:style w:type="character" w:styleId="700">
    <w:name w:val="Caption Char"/>
    <w:basedOn w:val="856"/>
    <w:link w:val="698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sz w:val="24"/>
      <w:szCs w:val="24"/>
      <w:lang w:eastAsia="zh-CN" w:bidi="hi-IN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Текст выноски Знак"/>
    <w:qFormat/>
    <w:rPr>
      <w:rFonts w:ascii="Segoe UI" w:hAnsi="Segoe UI"/>
      <w:sz w:val="18"/>
      <w:szCs w:val="16"/>
    </w:rPr>
  </w:style>
  <w:style w:type="paragraph" w:styleId="849" w:customStyle="1">
    <w:name w:val="Заголовок1"/>
    <w:basedOn w:val="854"/>
    <w:next w:val="855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0">
    <w:name w:val="Body Text"/>
    <w:basedOn w:val="844"/>
    <w:pPr>
      <w:spacing w:after="140" w:line="276" w:lineRule="auto"/>
    </w:pPr>
  </w:style>
  <w:style w:type="paragraph" w:styleId="851">
    <w:name w:val="List"/>
    <w:basedOn w:val="855"/>
  </w:style>
  <w:style w:type="paragraph" w:styleId="852" w:customStyle="1">
    <w:name w:val="Название объекта1"/>
    <w:basedOn w:val="844"/>
    <w:qFormat/>
    <w:pPr>
      <w:spacing w:before="120" w:after="120"/>
      <w:suppressLineNumbers/>
    </w:pPr>
    <w:rPr>
      <w:i/>
      <w:iCs/>
    </w:rPr>
  </w:style>
  <w:style w:type="paragraph" w:styleId="853" w:customStyle="1">
    <w:name w:val="Указатель1"/>
    <w:basedOn w:val="854"/>
    <w:qFormat/>
    <w:pPr>
      <w:suppressLineNumbers/>
    </w:pPr>
  </w:style>
  <w:style w:type="paragraph" w:styleId="854" w:customStyle="1">
    <w:name w:val="Standard"/>
    <w:qFormat/>
    <w:rPr>
      <w:sz w:val="24"/>
      <w:szCs w:val="24"/>
      <w:lang w:eastAsia="zh-CN" w:bidi="hi-IN"/>
    </w:rPr>
  </w:style>
  <w:style w:type="paragraph" w:styleId="855" w:customStyle="1">
    <w:name w:val="Text body"/>
    <w:basedOn w:val="854"/>
    <w:qFormat/>
    <w:pPr>
      <w:spacing w:after="140" w:line="288" w:lineRule="auto"/>
    </w:pPr>
  </w:style>
  <w:style w:type="paragraph" w:styleId="856">
    <w:name w:val="Caption"/>
    <w:basedOn w:val="854"/>
    <w:qFormat/>
    <w:pPr>
      <w:spacing w:before="120" w:after="120"/>
      <w:suppressLineNumbers/>
    </w:pPr>
    <w:rPr>
      <w:i/>
      <w:iCs/>
    </w:rPr>
  </w:style>
  <w:style w:type="paragraph" w:styleId="857">
    <w:name w:val="Balloon Text"/>
    <w:basedOn w:val="844"/>
    <w:qFormat/>
    <w:rPr>
      <w:rFonts w:ascii="Segoe UI" w:hAnsi="Segoe UI"/>
      <w:sz w:val="18"/>
      <w:szCs w:val="16"/>
    </w:rPr>
  </w:style>
  <w:style w:type="paragraph" w:styleId="858">
    <w:name w:val="Normal (Web)"/>
    <w:basedOn w:val="844"/>
    <w:uiPriority w:val="99"/>
    <w:semiHidden/>
    <w:unhideWhenUsed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859">
    <w:name w:val="No Spacing"/>
    <w:uiPriority w:val="1"/>
    <w:qFormat/>
    <w:rPr>
      <w:rFonts w:ascii="Calibri" w:hAnsi="Calibri" w:eastAsia="Calibri" w:cs="Times New Roman"/>
      <w:sz w:val="22"/>
      <w:szCs w:val="22"/>
      <w:lang w:eastAsia="en-US"/>
    </w:rPr>
  </w:style>
  <w:style w:type="paragraph" w:styleId="860">
    <w:name w:val="List Paragraph"/>
    <w:basedOn w:val="8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character" w:styleId="861" w:customStyle="1">
    <w:name w:val="fontstyle01"/>
    <w:basedOn w:val="845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styleId="862">
    <w:name w:val="Hyperlink"/>
    <w:basedOn w:val="845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dmgor.nn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3391-DBB0-4747-BFC2-35DBDFAC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Otdel208</dc:creator>
  <dc:language>ru-RU</dc:language>
  <cp:revision>14</cp:revision>
  <dcterms:created xsi:type="dcterms:W3CDTF">2021-11-16T05:05:00Z</dcterms:created>
  <dcterms:modified xsi:type="dcterms:W3CDTF">2024-12-17T07:47:06Z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